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choir or music group singing indoors as part of a public, </w:t>
      </w:r>
      <w:proofErr w:type="gramStart"/>
      <w:r>
        <w:rPr>
          <w:rFonts w:cstheme="minorHAnsi"/>
          <w:sz w:val="22"/>
          <w:szCs w:val="22"/>
        </w:rPr>
        <w:t>livestreamed</w:t>
      </w:r>
      <w:proofErr w:type="gramEnd"/>
      <w:r>
        <w:rPr>
          <w:rFonts w:cstheme="minorHAnsi"/>
          <w:sz w:val="22"/>
          <w:szCs w:val="22"/>
        </w:rPr>
        <w:t xml:space="preserve">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proofErr w:type="spellStart"/>
      <w:r>
        <w:rPr>
          <w:rFonts w:cstheme="minorHAnsi"/>
          <w:sz w:val="22"/>
          <w:szCs w:val="22"/>
        </w:rPr>
        <w:t>centre</w:t>
      </w:r>
      <w:proofErr w:type="spellEnd"/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</w:t>
      </w:r>
      <w:proofErr w:type="spellStart"/>
      <w:proofErr w:type="gramStart"/>
      <w:r>
        <w:rPr>
          <w:rFonts w:cstheme="minorHAnsi"/>
          <w:sz w:val="22"/>
          <w:szCs w:val="22"/>
        </w:rPr>
        <w:t>eg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</w:t>
      </w:r>
      <w:proofErr w:type="gramStart"/>
      <w:r w:rsidR="0018373C">
        <w:rPr>
          <w:rFonts w:cstheme="minorHAnsi"/>
          <w:sz w:val="22"/>
          <w:szCs w:val="22"/>
        </w:rPr>
        <w:t>managed, but</w:t>
      </w:r>
      <w:proofErr w:type="gramEnd"/>
      <w:r w:rsidR="0018373C">
        <w:rPr>
          <w:rFonts w:cstheme="minorHAnsi"/>
          <w:sz w:val="22"/>
          <w:szCs w:val="22"/>
        </w:rPr>
        <w:t xml:space="preserve">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5E457082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1"/>
        <w:gridCol w:w="4957"/>
        <w:gridCol w:w="2932"/>
        <w:gridCol w:w="1543"/>
        <w:gridCol w:w="1545"/>
      </w:tblGrid>
      <w:tr w:rsidR="00B000AA" w:rsidRPr="00554241" w14:paraId="540507C7" w14:textId="27D8856B" w:rsidTr="00A35999">
        <w:trPr>
          <w:trHeight w:val="311"/>
          <w:tblHeader/>
        </w:trPr>
        <w:tc>
          <w:tcPr>
            <w:tcW w:w="1065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7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4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A35999">
        <w:trPr>
          <w:trHeight w:val="613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4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6953AE0A" w:rsidR="00B90CA6" w:rsidRPr="00554241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101C299" w14:textId="1C7FC86F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732DD44" w14:textId="140939F9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1DFB09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CC5B3E1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279297FB" w14:textId="2B8213F5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spaces if appropriate and available.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DDD3879" w14:textId="2923A012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6ACC4DF3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AD754DF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5DDF299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AF2D5D3" w14:textId="38445E4B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or </w:t>
            </w:r>
            <w:r w:rsidR="0082277E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requiring people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102016F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44FDA384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5176CE87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14F3D9D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retaining social distancing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52BEEB0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014A3F1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1861F70C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213E1A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4577A853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1A8163C1" w14:textId="3F5A4038" w:rsidR="00A330B6" w:rsidRPr="006A74E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practical in your building, c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hoose one point of entry into the church to manage flow of people and indicate this with notices, keeping emergency </w:t>
            </w:r>
            <w:proofErr w:type="gramStart"/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. Where possible use a different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door for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70DCA74C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C0AF3B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2B33822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84633" w:rsidRPr="00554241" w14:paraId="303FC5B9" w14:textId="77777777" w:rsidTr="00A35999">
        <w:trPr>
          <w:trHeight w:val="613"/>
        </w:trPr>
        <w:tc>
          <w:tcPr>
            <w:tcW w:w="1065" w:type="pct"/>
            <w:shd w:val="clear" w:color="auto" w:fill="E2EFD9" w:themeFill="accent6" w:themeFillTint="33"/>
          </w:tcPr>
          <w:p w14:paraId="69B9FBD6" w14:textId="26563900" w:rsidR="00284633" w:rsidRPr="004C03D9" w:rsidRDefault="00284633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1EFF3063" w14:textId="451CADAE" w:rsidR="00284633" w:rsidRDefault="00284633" w:rsidP="00DF5C3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For events where the building is likely to be especially busy, or the activity is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particularly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energetic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pay </w:t>
            </w:r>
            <w:proofErr w:type="gramStart"/>
            <w:r w:rsidR="00B309B4">
              <w:rPr>
                <w:rFonts w:asciiTheme="minorHAnsi" w:hAnsiTheme="minorHAnsi" w:cstheme="minorBidi"/>
                <w:sz w:val="22"/>
                <w:szCs w:val="22"/>
              </w:rPr>
              <w:t>particular regard</w:t>
            </w:r>
            <w:proofErr w:type="gramEnd"/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to the need for </w:t>
            </w:r>
            <w:r w:rsidR="00602A0F">
              <w:rPr>
                <w:rFonts w:asciiTheme="minorHAnsi" w:hAnsiTheme="minorHAnsi" w:cstheme="minorBidi"/>
                <w:sz w:val="22"/>
                <w:szCs w:val="22"/>
              </w:rPr>
              <w:t xml:space="preserve">additional mitigations such as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>social distancing and face coverings.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EF0122B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1AF5CB0C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627B5383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F1AB4A2" w14:textId="77777777" w:rsidTr="00A35999">
        <w:trPr>
          <w:trHeight w:val="391"/>
        </w:trPr>
        <w:tc>
          <w:tcPr>
            <w:tcW w:w="1065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777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3CFA7DE0" w14:textId="2D5F874A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70BBC587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6E95ACFF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0DBE94D9" w14:textId="77777777" w:rsidTr="00A35999">
        <w:trPr>
          <w:trHeight w:val="391"/>
        </w:trPr>
        <w:tc>
          <w:tcPr>
            <w:tcW w:w="1065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people with surfaces, </w:t>
            </w:r>
            <w:proofErr w:type="gramStart"/>
            <w:r w:rsidRPr="00D63A41">
              <w:rPr>
                <w:rFonts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10E7FE64" w14:textId="77777777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F16ECBD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1D84E129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18DC7E77" w14:textId="77777777" w:rsidTr="00A35999">
        <w:trPr>
          <w:trHeight w:val="391"/>
        </w:trPr>
        <w:tc>
          <w:tcPr>
            <w:tcW w:w="1065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051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6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317A5C14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E2B294F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E6D4DA3" w14:textId="77777777" w:rsidTr="00A35999">
        <w:trPr>
          <w:trHeight w:val="391"/>
        </w:trPr>
        <w:tc>
          <w:tcPr>
            <w:tcW w:w="1065" w:type="pct"/>
            <w:vMerge/>
          </w:tcPr>
          <w:p w14:paraId="2C42AB81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4BA2E03" w14:textId="675BBA75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051" w:type="pct"/>
          </w:tcPr>
          <w:p w14:paraId="4583DAC4" w14:textId="450CF5EB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could consider a long-term loan system for Bibles and other books to ensure people have access to these.</w:t>
            </w:r>
          </w:p>
        </w:tc>
        <w:tc>
          <w:tcPr>
            <w:tcW w:w="553" w:type="pct"/>
          </w:tcPr>
          <w:p w14:paraId="6E6C7B73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52C8DA58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09FA4E06" w14:textId="77777777" w:rsidTr="00A35999">
        <w:trPr>
          <w:trHeight w:val="391"/>
        </w:trPr>
        <w:tc>
          <w:tcPr>
            <w:tcW w:w="1065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051" w:type="pct"/>
          </w:tcPr>
          <w:p w14:paraId="784AA028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2CE28AF9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2404EFD4" w14:textId="77777777" w:rsidTr="00A35999">
        <w:trPr>
          <w:trHeight w:val="391"/>
        </w:trPr>
        <w:tc>
          <w:tcPr>
            <w:tcW w:w="1065" w:type="pct"/>
            <w:vMerge/>
          </w:tcPr>
          <w:p w14:paraId="0B67345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14FEAE4" w14:textId="283B9046" w:rsidR="00AD7B22" w:rsidRPr="00D63A41" w:rsidRDefault="00AD7B22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on).</w:t>
            </w:r>
          </w:p>
        </w:tc>
        <w:tc>
          <w:tcPr>
            <w:tcW w:w="1051" w:type="pct"/>
          </w:tcPr>
          <w:p w14:paraId="41F2EBE9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F5111FD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042BEBE2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52210FAF" w14:textId="77777777" w:rsidTr="00A35999">
        <w:trPr>
          <w:trHeight w:val="391"/>
        </w:trPr>
        <w:tc>
          <w:tcPr>
            <w:tcW w:w="1065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in place a cleaning rota/system for children’s materials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toys,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 providing cleaning materials for these if safe to do so (keeping all such materials out of the reach of children).</w:t>
            </w:r>
          </w:p>
        </w:tc>
        <w:tc>
          <w:tcPr>
            <w:tcW w:w="1051" w:type="pct"/>
          </w:tcPr>
          <w:p w14:paraId="4C5E47AE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F0ABFC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4702D137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9D8F752" w14:textId="77777777" w:rsidTr="00A35999">
        <w:trPr>
          <w:trHeight w:val="391"/>
        </w:trPr>
        <w:tc>
          <w:tcPr>
            <w:tcW w:w="1065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6B900C1B" w14:textId="2B32ED85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102D5AC0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6FF43CE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4AB1F488" w14:textId="77777777" w:rsidTr="00A35999">
        <w:trPr>
          <w:trHeight w:val="391"/>
        </w:trPr>
        <w:tc>
          <w:tcPr>
            <w:tcW w:w="1065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1051" w:type="pct"/>
          </w:tcPr>
          <w:p w14:paraId="049E6FDF" w14:textId="77777777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D366AF8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BB28555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4354516" w14:textId="77777777" w:rsidTr="00AD7B22">
        <w:trPr>
          <w:trHeight w:val="608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96C689B" w14:textId="6DA5D96B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0EF5C1D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1A7CE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A4F9E67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117BB995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28B353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418444C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6DBC" w:rsidRPr="00554241" w14:paraId="6E28B4D0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CB60DDB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2F3E5989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FDA17C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A616C71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6130AE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049543F4" w14:textId="0DEA61C2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D5C98B7" w14:textId="254F059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145BA3B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1AA4411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B921FCA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7F65C34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7E010F2C" w14:textId="73B51A7A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Communicate with nearby churches to ensure offered provisions are complementary.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9AFF46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3E40298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E84E6AC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274B4E6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73F3DD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0033A58B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5862697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179DE67" w14:textId="77777777" w:rsidTr="00E244B5">
        <w:trPr>
          <w:trHeight w:val="645"/>
        </w:trPr>
        <w:tc>
          <w:tcPr>
            <w:tcW w:w="1065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 xml:space="preserve">Cleaning the church after known exposure to </w:t>
            </w:r>
            <w:r w:rsidRPr="004C03D9">
              <w:rPr>
                <w:rFonts w:asciiTheme="minorHAnsi" w:hAnsiTheme="minorHAnsi" w:cstheme="minorHAnsi"/>
                <w:b/>
                <w:bCs/>
              </w:rPr>
              <w:lastRenderedPageBreak/>
              <w:t>someone with Coronavirus symptoms</w:t>
            </w:r>
          </w:p>
        </w:tc>
        <w:tc>
          <w:tcPr>
            <w:tcW w:w="1777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69072FF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14:paraId="53C8581F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7E96FFB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0941569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FFFFF" w:themeFill="background1"/>
          </w:tcPr>
          <w:p w14:paraId="344152DF" w14:textId="2E5EE8C8" w:rsidR="00A330B6" w:rsidRPr="00554241" w:rsidRDefault="00E13910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491510A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82C8FC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EB4E952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51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3FF56C5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5497907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B539" w14:textId="77777777" w:rsidR="00E13910" w:rsidRDefault="00E13910" w:rsidP="00264C77">
      <w:pPr>
        <w:spacing w:after="0" w:line="240" w:lineRule="auto"/>
      </w:pPr>
      <w:r>
        <w:separator/>
      </w:r>
    </w:p>
  </w:endnote>
  <w:endnote w:type="continuationSeparator" w:id="0">
    <w:p w14:paraId="7F3510FC" w14:textId="77777777" w:rsidR="00E13910" w:rsidRDefault="00E13910" w:rsidP="00264C77">
      <w:pPr>
        <w:spacing w:after="0" w:line="240" w:lineRule="auto"/>
      </w:pPr>
      <w:r>
        <w:continuationSeparator/>
      </w:r>
    </w:p>
  </w:endnote>
  <w:endnote w:type="continuationNotice" w:id="1">
    <w:p w14:paraId="008D9AF4" w14:textId="77777777" w:rsidR="00E13910" w:rsidRDefault="00E13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F6B" w14:textId="77777777" w:rsidR="00E13910" w:rsidRDefault="00E13910" w:rsidP="00264C77">
      <w:pPr>
        <w:spacing w:after="0" w:line="240" w:lineRule="auto"/>
      </w:pPr>
      <w:r>
        <w:separator/>
      </w:r>
    </w:p>
  </w:footnote>
  <w:footnote w:type="continuationSeparator" w:id="0">
    <w:p w14:paraId="00451259" w14:textId="77777777" w:rsidR="00E13910" w:rsidRDefault="00E13910" w:rsidP="00264C77">
      <w:pPr>
        <w:spacing w:after="0" w:line="240" w:lineRule="auto"/>
      </w:pPr>
      <w:r>
        <w:continuationSeparator/>
      </w:r>
    </w:p>
  </w:footnote>
  <w:footnote w:type="continuationNotice" w:id="1">
    <w:p w14:paraId="72206D85" w14:textId="77777777" w:rsidR="00E13910" w:rsidRDefault="00E13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D170F"/>
    <w:rsid w:val="0020198E"/>
    <w:rsid w:val="00255F09"/>
    <w:rsid w:val="00264C77"/>
    <w:rsid w:val="00267838"/>
    <w:rsid w:val="00270135"/>
    <w:rsid w:val="00284633"/>
    <w:rsid w:val="002B59E0"/>
    <w:rsid w:val="002B6B8E"/>
    <w:rsid w:val="002D15F2"/>
    <w:rsid w:val="002D6D12"/>
    <w:rsid w:val="00312D17"/>
    <w:rsid w:val="00312E1D"/>
    <w:rsid w:val="003131AC"/>
    <w:rsid w:val="00351E53"/>
    <w:rsid w:val="00387853"/>
    <w:rsid w:val="00387C24"/>
    <w:rsid w:val="003C4CBF"/>
    <w:rsid w:val="003C5127"/>
    <w:rsid w:val="003D707B"/>
    <w:rsid w:val="0041200F"/>
    <w:rsid w:val="00452962"/>
    <w:rsid w:val="00494DB4"/>
    <w:rsid w:val="004B79A2"/>
    <w:rsid w:val="004C03D9"/>
    <w:rsid w:val="004D6AB6"/>
    <w:rsid w:val="004E439A"/>
    <w:rsid w:val="00500000"/>
    <w:rsid w:val="005050E0"/>
    <w:rsid w:val="005076EA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2D46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9731A"/>
    <w:rsid w:val="00AA6125"/>
    <w:rsid w:val="00AB4259"/>
    <w:rsid w:val="00AB6515"/>
    <w:rsid w:val="00AD06ED"/>
    <w:rsid w:val="00AD7B22"/>
    <w:rsid w:val="00B000AA"/>
    <w:rsid w:val="00B04B96"/>
    <w:rsid w:val="00B1022E"/>
    <w:rsid w:val="00B14C0F"/>
    <w:rsid w:val="00B2029A"/>
    <w:rsid w:val="00B309B4"/>
    <w:rsid w:val="00B62E5F"/>
    <w:rsid w:val="00B90CA6"/>
    <w:rsid w:val="00B91259"/>
    <w:rsid w:val="00BC70C6"/>
    <w:rsid w:val="00BD6FA6"/>
    <w:rsid w:val="00C3532E"/>
    <w:rsid w:val="00C372ED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68CA"/>
    <w:rsid w:val="00D17B42"/>
    <w:rsid w:val="00D204E4"/>
    <w:rsid w:val="00D20827"/>
    <w:rsid w:val="00D241BD"/>
    <w:rsid w:val="00D34C96"/>
    <w:rsid w:val="00D63A41"/>
    <w:rsid w:val="00D81BC8"/>
    <w:rsid w:val="00D967A0"/>
    <w:rsid w:val="00DA2868"/>
    <w:rsid w:val="00DA4BE8"/>
    <w:rsid w:val="00DC032C"/>
    <w:rsid w:val="00DD1B0C"/>
    <w:rsid w:val="00DE08A3"/>
    <w:rsid w:val="00DE6277"/>
    <w:rsid w:val="00DF28C6"/>
    <w:rsid w:val="00DF5C36"/>
    <w:rsid w:val="00E13910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606A"/>
    <w:rsid w:val="00EF0F4D"/>
    <w:rsid w:val="00F00DD8"/>
    <w:rsid w:val="00F304A8"/>
    <w:rsid w:val="00F528B7"/>
    <w:rsid w:val="00F65660"/>
    <w:rsid w:val="00F659C6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Brian Mason</cp:lastModifiedBy>
  <cp:revision>2</cp:revision>
  <cp:lastPrinted>2020-05-24T20:46:00Z</cp:lastPrinted>
  <dcterms:created xsi:type="dcterms:W3CDTF">2021-08-16T07:36:00Z</dcterms:created>
  <dcterms:modified xsi:type="dcterms:W3CDTF">2021-08-16T07:36:00Z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